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93" w:rsidRDefault="00B97693" w:rsidP="00B97693">
      <w:r>
        <w:t>БАШКОРТОСТАН РЕСПУБЛИКА</w:t>
      </w:r>
      <w:proofErr w:type="gramStart"/>
      <w:r>
        <w:rPr>
          <w:sz w:val="28"/>
          <w:lang w:val="en-US"/>
        </w:rPr>
        <w:t>h</w:t>
      </w:r>
      <w:proofErr w:type="gramEnd"/>
      <w:r>
        <w:t>Ы                          РЕСПУБЛИКА БАШКОРТОСТАН</w:t>
      </w:r>
    </w:p>
    <w:p w:rsidR="00B97693" w:rsidRDefault="00B97693" w:rsidP="00B97693">
      <w:r>
        <w:t xml:space="preserve">              ЭБЙЭЛИЛ РАЙОНЫ                                           МУНИЦИПАЛЬНЫЙ РАЙОН</w:t>
      </w:r>
    </w:p>
    <w:p w:rsidR="00B97693" w:rsidRDefault="00B97693" w:rsidP="00B97693">
      <w:pPr>
        <w:pStyle w:val="1"/>
      </w:pPr>
      <w:r>
        <w:t>МУНИЦИПАЛЬ РАЙОНЫНЫН                                   АБЗЕЛИЛОВСКИЙ РАЙОН                                  Д</w:t>
      </w:r>
      <w:r>
        <w:rPr>
          <w:lang w:val="be-BY"/>
        </w:rPr>
        <w:t>ӘҮЛӘТ</w:t>
      </w:r>
      <w:r>
        <w:t xml:space="preserve"> АУЫЛ СОВЕТЫ                                           АДМИНИСТРАЦИЯ </w:t>
      </w:r>
      <w:proofErr w:type="gramStart"/>
      <w:r>
        <w:t>СЕЛЬСКОГО</w:t>
      </w:r>
      <w:proofErr w:type="gramEnd"/>
    </w:p>
    <w:p w:rsidR="00B97693" w:rsidRDefault="00B97693" w:rsidP="00B97693">
      <w:pPr>
        <w:rPr>
          <w:b/>
          <w:bCs/>
        </w:rPr>
      </w:pPr>
      <w:r>
        <w:rPr>
          <w:b/>
          <w:bCs/>
        </w:rPr>
        <w:t xml:space="preserve">       АУЫЛ БИЛЭМЭ</w:t>
      </w:r>
      <w:proofErr w:type="gramStart"/>
      <w:r>
        <w:rPr>
          <w:b/>
          <w:bCs/>
          <w:sz w:val="28"/>
          <w:lang w:val="en-US"/>
        </w:rPr>
        <w:t>h</w:t>
      </w:r>
      <w:proofErr w:type="gramEnd"/>
      <w:r>
        <w:rPr>
          <w:b/>
          <w:bCs/>
        </w:rPr>
        <w:t>Е                                                 ПОСЕЛЕНИЯ  ДАВЛЕТОВСКИЙ</w:t>
      </w:r>
    </w:p>
    <w:p w:rsidR="00B97693" w:rsidRDefault="00B97693" w:rsidP="00B97693">
      <w:pPr>
        <w:rPr>
          <w:b/>
          <w:bCs/>
        </w:rPr>
      </w:pPr>
      <w:r>
        <w:rPr>
          <w:b/>
          <w:bCs/>
        </w:rPr>
        <w:t xml:space="preserve">            ХАКИМИЭТЕ                                                                   СЕЛЬСОВЕТ</w:t>
      </w:r>
    </w:p>
    <w:p w:rsidR="00B97693" w:rsidRDefault="00B97693" w:rsidP="00B97693">
      <w:pPr>
        <w:rPr>
          <w:b/>
          <w:bCs/>
        </w:rPr>
      </w:pPr>
      <w:r>
        <w:rPr>
          <w:b/>
          <w:bCs/>
        </w:rPr>
        <w:t xml:space="preserve">           ИНН  0201002142                                                            ИНН  0201002142</w:t>
      </w:r>
    </w:p>
    <w:p w:rsidR="00B97693" w:rsidRDefault="00B97693" w:rsidP="00B97693">
      <w:r>
        <w:t xml:space="preserve">          453624, </w:t>
      </w:r>
      <w:r>
        <w:rPr>
          <w:lang w:val="be-BY"/>
        </w:rPr>
        <w:t>Дәү</w:t>
      </w:r>
      <w:proofErr w:type="gramStart"/>
      <w:r>
        <w:rPr>
          <w:lang w:val="be-BY"/>
        </w:rPr>
        <w:t>л</w:t>
      </w:r>
      <w:proofErr w:type="gramEnd"/>
      <w:r>
        <w:rPr>
          <w:lang w:val="be-BY"/>
        </w:rPr>
        <w:t>әт</w:t>
      </w:r>
      <w:r>
        <w:t xml:space="preserve"> </w:t>
      </w:r>
      <w:proofErr w:type="spellStart"/>
      <w:r>
        <w:t>ауылы</w:t>
      </w:r>
      <w:proofErr w:type="spellEnd"/>
      <w:r>
        <w:t xml:space="preserve">                                                 453624, село </w:t>
      </w:r>
      <w:proofErr w:type="spellStart"/>
      <w:r>
        <w:t>Давлетово</w:t>
      </w:r>
      <w:proofErr w:type="spellEnd"/>
    </w:p>
    <w:p w:rsidR="00B97693" w:rsidRDefault="00B97693" w:rsidP="00B97693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</w:p>
    <w:p w:rsidR="00B97693" w:rsidRDefault="00B97693" w:rsidP="00B97693">
      <w:pPr>
        <w:pStyle w:val="1"/>
      </w:pPr>
      <w:r>
        <w:t xml:space="preserve"> </w:t>
      </w:r>
    </w:p>
    <w:p w:rsidR="00B97693" w:rsidRDefault="00B97693" w:rsidP="00B97693">
      <w:pPr>
        <w:pStyle w:val="1"/>
      </w:pPr>
      <w:r>
        <w:t xml:space="preserve">          КАРАР                                                                                     ПОСТАНОВЛЕНИЕ</w:t>
      </w:r>
    </w:p>
    <w:p w:rsidR="00B97693" w:rsidRDefault="00B97693" w:rsidP="00B97693">
      <w:r>
        <w:t>19 ноября 2009 г.                                        № 16                       19 ноября 2009г.</w:t>
      </w:r>
    </w:p>
    <w:p w:rsidR="00B97693" w:rsidRDefault="00B97693" w:rsidP="00B97693"/>
    <w:p w:rsidR="00B97693" w:rsidRDefault="00B97693" w:rsidP="00B97693">
      <w:pPr>
        <w:widowControl w:val="0"/>
        <w:jc w:val="center"/>
        <w:rPr>
          <w:rFonts w:ascii="Times New Roman CYR" w:hAnsi="Times New Roman CYR"/>
          <w:b/>
          <w:snapToGrid w:val="0"/>
        </w:rPr>
      </w:pPr>
      <w:r>
        <w:rPr>
          <w:rFonts w:ascii="Times New Roman CYR" w:hAnsi="Times New Roman CYR"/>
          <w:b/>
          <w:snapToGrid w:val="0"/>
        </w:rPr>
        <w:t>Об утверждении п</w:t>
      </w:r>
      <w:r>
        <w:rPr>
          <w:b/>
        </w:rPr>
        <w:t xml:space="preserve">оложения о порядке образования и использования целевых бюджетных фондов </w:t>
      </w:r>
      <w:r>
        <w:rPr>
          <w:b/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В соответствии со статьей  17  Бюджетного кодекса Российской Федерации   Положения об организации  бюджетного процесса, утвержденного решением представительного органа 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, Администрация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>постановляет: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1. Утвердить прилагаемое Положение о порядке образования и использования </w:t>
      </w:r>
      <w:proofErr w:type="gramStart"/>
      <w:r>
        <w:rPr>
          <w:rFonts w:ascii="Times New Roman CYR" w:hAnsi="Times New Roman CYR"/>
          <w:snapToGrid w:val="0"/>
        </w:rPr>
        <w:t>целевых</w:t>
      </w:r>
      <w:proofErr w:type="gramEnd"/>
      <w:r>
        <w:rPr>
          <w:rFonts w:ascii="Times New Roman CYR" w:hAnsi="Times New Roman CYR"/>
          <w:snapToGrid w:val="0"/>
        </w:rPr>
        <w:t xml:space="preserve"> бюджетных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2. У</w:t>
      </w:r>
      <w:r>
        <w:t>полномоченному орган</w:t>
      </w:r>
      <w:r>
        <w:rPr>
          <w:rFonts w:ascii="Times New Roman CYR" w:hAnsi="Times New Roman CYR"/>
          <w:snapToGrid w:val="0"/>
        </w:rPr>
        <w:t xml:space="preserve">у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>обеспечить своевременное  и в полном объеме  поступление в местный бюджет доходов, являющихся источниками образования целевых бюджетных фондов, и использование средств фондов на цели, соответствующие их назначению, согласно утвержденному настоящим постановлением Положению.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3. </w:t>
      </w:r>
      <w:proofErr w:type="gramStart"/>
      <w:r>
        <w:rPr>
          <w:rFonts w:ascii="Times New Roman CYR" w:hAnsi="Times New Roman CYR"/>
          <w:snapToGrid w:val="0"/>
        </w:rPr>
        <w:t>Контроль за</w:t>
      </w:r>
      <w:proofErr w:type="gramEnd"/>
      <w:r>
        <w:rPr>
          <w:rFonts w:ascii="Times New Roman CYR" w:hAnsi="Times New Roman CYR"/>
          <w:snapToGrid w:val="0"/>
        </w:rPr>
        <w:t xml:space="preserve"> целевым  использованием  средств  целевых бюджетных фондов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 осуществляется (контрольным органом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) в порядке, </w:t>
      </w:r>
      <w:r>
        <w:rPr>
          <w:rFonts w:ascii="Times New Roman CYR" w:hAnsi="Times New Roman CYR"/>
          <w:snapToGrid w:val="0"/>
        </w:rPr>
        <w:t xml:space="preserve"> установленном   представительным органом 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 .</w:t>
      </w: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4. </w:t>
      </w:r>
      <w:r>
        <w:t>Уполномоченный орган</w:t>
      </w:r>
      <w:r>
        <w:rPr>
          <w:rFonts w:ascii="Times New Roman CYR" w:hAnsi="Times New Roman CYR"/>
          <w:snapToGrid w:val="0"/>
        </w:rPr>
        <w:t xml:space="preserve">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proofErr w:type="gramStart"/>
      <w:r>
        <w:rPr>
          <w:rFonts w:ascii="Times New Roman CYR" w:hAnsi="Times New Roman CYR"/>
          <w:snapToGrid w:val="0"/>
        </w:rPr>
        <w:t xml:space="preserve">информировать представительный  и контрольный орган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 xml:space="preserve">об остатках средств целевых бюджетных фондов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 xml:space="preserve">на начало отчетного периода, объемах поступлений и использовании средств фондов по форме отчетности, утверждаемой </w:t>
      </w:r>
      <w:r>
        <w:t xml:space="preserve">уполномоченный орган 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proofErr w:type="gramEnd"/>
    </w:p>
    <w:p w:rsidR="00B97693" w:rsidRDefault="00B97693" w:rsidP="00B97693">
      <w:pPr>
        <w:widowControl w:val="0"/>
        <w:jc w:val="both"/>
      </w:pPr>
    </w:p>
    <w:p w:rsidR="00B97693" w:rsidRDefault="00B97693" w:rsidP="00B97693">
      <w:pPr>
        <w:widowControl w:val="0"/>
        <w:jc w:val="both"/>
      </w:pPr>
    </w:p>
    <w:p w:rsidR="00B97693" w:rsidRDefault="00B97693" w:rsidP="00B97693">
      <w:pPr>
        <w:widowControl w:val="0"/>
        <w:jc w:val="both"/>
      </w:pPr>
      <w:r>
        <w:t>Глава сельского поселения</w:t>
      </w:r>
    </w:p>
    <w:p w:rsidR="00B97693" w:rsidRDefault="00B97693" w:rsidP="00B97693">
      <w:pPr>
        <w:widowControl w:val="0"/>
        <w:jc w:val="both"/>
      </w:pPr>
      <w:r>
        <w:t xml:space="preserve">Давлетовский сельсовет:                                                            </w:t>
      </w:r>
      <w:proofErr w:type="spellStart"/>
      <w:r>
        <w:t>Альтяпов</w:t>
      </w:r>
      <w:proofErr w:type="spellEnd"/>
      <w:r>
        <w:t xml:space="preserve"> И.А.</w:t>
      </w:r>
    </w:p>
    <w:p w:rsidR="00B97693" w:rsidRDefault="00B97693" w:rsidP="00B97693">
      <w:pPr>
        <w:widowControl w:val="0"/>
        <w:ind w:firstLine="4680"/>
      </w:pPr>
    </w:p>
    <w:p w:rsidR="00B97693" w:rsidRDefault="00B97693" w:rsidP="00B97693">
      <w:pPr>
        <w:widowControl w:val="0"/>
        <w:ind w:firstLine="4680"/>
        <w:jc w:val="right"/>
      </w:pPr>
    </w:p>
    <w:p w:rsidR="00B97693" w:rsidRDefault="00B97693" w:rsidP="00B97693">
      <w:pPr>
        <w:widowControl w:val="0"/>
        <w:ind w:firstLine="4680"/>
        <w:jc w:val="right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Утверждено</w:t>
      </w:r>
    </w:p>
    <w:p w:rsidR="00B97693" w:rsidRDefault="00B97693" w:rsidP="00B97693">
      <w:pPr>
        <w:widowControl w:val="0"/>
        <w:jc w:val="right"/>
        <w:rPr>
          <w:snapToGrid w:val="0"/>
        </w:rPr>
      </w:pPr>
      <w:r>
        <w:rPr>
          <w:rFonts w:ascii="Times New Roman CYR" w:hAnsi="Times New Roman CYR"/>
          <w:snapToGrid w:val="0"/>
        </w:rPr>
        <w:t xml:space="preserve">Постановлением  </w:t>
      </w:r>
      <w:r w:rsidRPr="005757BB">
        <w:rPr>
          <w:snapToGrid w:val="0"/>
        </w:rPr>
        <w:t xml:space="preserve">сельского поселения </w:t>
      </w:r>
    </w:p>
    <w:p w:rsidR="00B97693" w:rsidRDefault="00B97693" w:rsidP="00B97693">
      <w:pPr>
        <w:widowControl w:val="0"/>
        <w:jc w:val="right"/>
        <w:rPr>
          <w:snapToGrid w:val="0"/>
        </w:rPr>
      </w:pPr>
      <w:r w:rsidRPr="005757BB">
        <w:rPr>
          <w:snapToGrid w:val="0"/>
        </w:rPr>
        <w:t xml:space="preserve">Давлетовский сельсовет </w:t>
      </w:r>
    </w:p>
    <w:p w:rsidR="00B97693" w:rsidRDefault="00B97693" w:rsidP="00B97693">
      <w:pPr>
        <w:widowControl w:val="0"/>
        <w:jc w:val="right"/>
        <w:rPr>
          <w:snapToGrid w:val="0"/>
        </w:rPr>
      </w:pPr>
      <w:r w:rsidRPr="005757BB">
        <w:rPr>
          <w:snapToGrid w:val="0"/>
        </w:rPr>
        <w:t xml:space="preserve">муниципального района </w:t>
      </w:r>
    </w:p>
    <w:p w:rsidR="00B97693" w:rsidRDefault="00B97693" w:rsidP="00B97693">
      <w:pPr>
        <w:widowControl w:val="0"/>
        <w:jc w:val="right"/>
        <w:rPr>
          <w:snapToGrid w:val="0"/>
        </w:rPr>
      </w:pPr>
      <w:r w:rsidRPr="005757BB">
        <w:rPr>
          <w:snapToGrid w:val="0"/>
        </w:rPr>
        <w:t>Абзелиловский район</w:t>
      </w:r>
    </w:p>
    <w:p w:rsidR="00B97693" w:rsidRDefault="00B97693" w:rsidP="00B97693">
      <w:pPr>
        <w:widowControl w:val="0"/>
        <w:jc w:val="right"/>
        <w:rPr>
          <w:snapToGrid w:val="0"/>
        </w:rPr>
      </w:pPr>
      <w:r w:rsidRPr="005757BB">
        <w:rPr>
          <w:snapToGrid w:val="0"/>
        </w:rPr>
        <w:t xml:space="preserve"> Республики Башкортостан</w:t>
      </w:r>
    </w:p>
    <w:p w:rsidR="00B97693" w:rsidRPr="005757BB" w:rsidRDefault="00B97693" w:rsidP="00B97693">
      <w:pPr>
        <w:widowControl w:val="0"/>
        <w:jc w:val="right"/>
        <w:rPr>
          <w:rFonts w:ascii="Times New Roman CYR" w:hAnsi="Times New Roman CYR"/>
          <w:snapToGrid w:val="0"/>
        </w:rPr>
      </w:pPr>
      <w:r>
        <w:rPr>
          <w:snapToGrid w:val="0"/>
        </w:rPr>
        <w:t>№ 16 от 19.11.2009 года</w:t>
      </w:r>
    </w:p>
    <w:p w:rsidR="00B97693" w:rsidRDefault="00B97693" w:rsidP="00B97693">
      <w:pPr>
        <w:widowControl w:val="0"/>
        <w:jc w:val="center"/>
        <w:rPr>
          <w:rFonts w:ascii="Times New Roman CYR" w:hAnsi="Times New Roman CYR"/>
          <w:snapToGrid w:val="0"/>
        </w:rPr>
      </w:pPr>
    </w:p>
    <w:p w:rsidR="00B97693" w:rsidRDefault="00B97693" w:rsidP="00B97693">
      <w:pPr>
        <w:pStyle w:val="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B97693" w:rsidRDefault="00B97693" w:rsidP="00B97693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о порядке  образования  и  использования  целевых бюджетных фондов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b/>
          <w:snapToGrid w:val="0"/>
        </w:rPr>
      </w:pPr>
      <w:r w:rsidRPr="00A102E6">
        <w:rPr>
          <w:b/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Default="00B97693" w:rsidP="00B97693">
      <w:pPr>
        <w:widowControl w:val="0"/>
        <w:jc w:val="both"/>
        <w:rPr>
          <w:snapToGrid w:val="0"/>
        </w:rPr>
      </w:pP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1. </w:t>
      </w:r>
      <w:proofErr w:type="gramStart"/>
      <w:r>
        <w:rPr>
          <w:snapToGrid w:val="0"/>
        </w:rPr>
        <w:t xml:space="preserve">Настоящее Положение разработано в соответствии со статьей 17 Бюджетного кодекса Российской Федерации  и Положения об организации  бюджетного процесса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, утвержденного  решением представительного органа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и устанавливает порядок образования целевых бюджетных фондов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proofErr w:type="gramEnd"/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>и использования их средств фондов на цели, соответствующие  их назначению.</w:t>
      </w: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2. Под целевыми бюджетными фондами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понимаются фонды денежных средств, образуемые в соответствии с  законодательством Российской Федерации  и решениями представительного органа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в составе бюджета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и направляемые на финансирование мероприятий по решению вопросов местного значения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, установленных   Федерального  закона от 6 октября 2003 г. № 131-ФЗ “Об общих принципах организации местного самоуправления  в Российской Федерации”. </w:t>
      </w:r>
      <w:proofErr w:type="gramEnd"/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3. </w:t>
      </w:r>
      <w:proofErr w:type="gramStart"/>
      <w:r>
        <w:rPr>
          <w:snapToGrid w:val="0"/>
        </w:rPr>
        <w:t xml:space="preserve">Объемы доходов и расходов, направления использования средств целевых бюджетных фондов 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 </w:t>
      </w:r>
      <w:r>
        <w:rPr>
          <w:snapToGrid w:val="0"/>
        </w:rPr>
        <w:t xml:space="preserve">устанавливаются  отдельными статьями в решении о  бюджете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на очередной финансовый год, утвержденном  представительным   органом 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по каждому фонду в разрезе получателей</w:t>
      </w:r>
      <w:proofErr w:type="gramEnd"/>
      <w:r>
        <w:rPr>
          <w:snapToGrid w:val="0"/>
        </w:rPr>
        <w:t xml:space="preserve"> указанных средств.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proofErr w:type="gramStart"/>
      <w:r>
        <w:rPr>
          <w:snapToGrid w:val="0"/>
        </w:rPr>
        <w:t xml:space="preserve">Поступление доходов и распределение расходов целевых бюджетных фондов на соответствующий финансовый год по видам доходов и направлениям использования устанавливается в приложении к решению о бюджете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на очередной финансовый  год, утвержденном  представительным   органом  </w:t>
      </w:r>
      <w:r w:rsidRPr="005757BB">
        <w:rPr>
          <w:snapToGrid w:val="0"/>
        </w:rPr>
        <w:t xml:space="preserve">сельского </w:t>
      </w:r>
      <w:r w:rsidRPr="005757BB">
        <w:rPr>
          <w:snapToGrid w:val="0"/>
        </w:rPr>
        <w:lastRenderedPageBreak/>
        <w:t>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>, по форме  согласно  приложению к Положению (прилагается).</w:t>
      </w:r>
      <w:proofErr w:type="gramEnd"/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4. Образование целевых бюджетных фондов осуществляется за счет доходов целевого назначения или в порядке целевых отчислений от конкретных видов доходов или иных поступлений, обособленно учитываемых в составе доходов местного бюджета и являющихся собственными доходами местного бюджета.</w:t>
      </w:r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5. Средства целевых бюджетных фондов  используются по отдельной смете в составе расходов местного бюджета  на цели, соответствующие назначению целевых бюджетных фондов, в виде установленных статьей 69 Бюджетного кодекса Российской Федерации форм расходов бюджетов, и направляются исключительно на финансирование мероприятий, определенных в составе расходов местного бюджета.</w:t>
      </w:r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В зависимости от экономического содержания средства целевых бюджетных фондов группируются на текущие и капитальные расходы в соответствии с экономической классификацией расходов бюджетов Российской Федерации.</w:t>
      </w:r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Использование средств целевых бюджетных фондов на цели, не соответствующие  назначениям целевых бюджетных фондов, не допускается.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6. Распределение средств целевых бюджетных фондов по распорядителям и получателям средств местного бюджета согласно ведомственной классификации расходов местного бюджета осуществляется главным распорядителем средств  местного бюджета в лице </w:t>
      </w:r>
      <w:r>
        <w:t>уполномоченный орган</w:t>
      </w:r>
      <w:r>
        <w:rPr>
          <w:snapToGrid w:val="0"/>
        </w:rPr>
        <w:t xml:space="preserve">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snapToGrid w:val="0"/>
        </w:rPr>
        <w:t xml:space="preserve"> в  соответствии с бюджетной росписью расходов местного бюджета на соответствующий финансовый год. 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 xml:space="preserve">7. </w:t>
      </w:r>
      <w:proofErr w:type="gramStart"/>
      <w:r>
        <w:rPr>
          <w:snapToGrid w:val="0"/>
        </w:rPr>
        <w:t xml:space="preserve">Перечисление средств целевых бюджетных фондов распорядителям и получателям средств местного бюджета осуществляется </w:t>
      </w:r>
      <w:r>
        <w:t xml:space="preserve">уполномоченным органом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 </w:t>
      </w:r>
      <w:r>
        <w:rPr>
          <w:snapToGrid w:val="0"/>
        </w:rPr>
        <w:t>в объемах и сроки согласно утвержденной бюджетной росписи расходов местного бюджета на соответствующий финансовый год и доведенным лимитам бюджетных обязательств в порядке, установленном бюджетным законодательством Российской Федерации.</w:t>
      </w:r>
      <w:proofErr w:type="gramEnd"/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Учет операций со средствами целевых бюджетных фондов  осуществляется в порядке, установленном для учета операций  со средствами местного бюджета.</w:t>
      </w:r>
    </w:p>
    <w:p w:rsidR="00B97693" w:rsidRDefault="00B97693" w:rsidP="00B9769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8. Использование средств целевых бюджетных фондов отражается в отчете об исполнении местного бюджета по соответствующим кодам функциональной и экономической классификаций расходов бюджетов Российской Федерации.</w:t>
      </w:r>
    </w:p>
    <w:p w:rsidR="00B97693" w:rsidRPr="005757BB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snapToGrid w:val="0"/>
        </w:rPr>
        <w:t>9. У</w:t>
      </w:r>
      <w:r>
        <w:t>полномоченный орган</w:t>
      </w:r>
      <w:r>
        <w:rPr>
          <w:snapToGrid w:val="0"/>
        </w:rPr>
        <w:t xml:space="preserve">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  <w:r>
        <w:rPr>
          <w:rFonts w:ascii="Times New Roman CYR" w:hAnsi="Times New Roman CYR"/>
          <w:snapToGrid w:val="0"/>
        </w:rPr>
        <w:t xml:space="preserve"> </w:t>
      </w:r>
      <w:r>
        <w:rPr>
          <w:snapToGrid w:val="0"/>
        </w:rPr>
        <w:t xml:space="preserve">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целевых бюджетных фондов, своевременным предоставлением отчетности об их использовании по форме, установленной уполномоченным органом </w:t>
      </w:r>
      <w:r w:rsidRPr="005757BB">
        <w:rPr>
          <w:snapToGrid w:val="0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B97693" w:rsidRPr="00A102E6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</w:p>
    <w:p w:rsidR="00B97693" w:rsidRDefault="00B97693" w:rsidP="00B97693">
      <w:pPr>
        <w:widowControl w:val="0"/>
        <w:jc w:val="right"/>
      </w:pPr>
      <w:r>
        <w:br w:type="page"/>
      </w:r>
      <w:r>
        <w:lastRenderedPageBreak/>
        <w:t>Приложение</w:t>
      </w:r>
    </w:p>
    <w:p w:rsidR="00B97693" w:rsidRDefault="00B97693" w:rsidP="00B97693">
      <w:pPr>
        <w:widowControl w:val="0"/>
        <w:jc w:val="center"/>
        <w:rPr>
          <w:b/>
          <w:snapToGrid w:val="0"/>
        </w:rPr>
      </w:pPr>
    </w:p>
    <w:p w:rsidR="00B97693" w:rsidRDefault="00B97693" w:rsidP="00B97693">
      <w:pPr>
        <w:pStyle w:val="2"/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Поступление доходов и распределение расходов целевого бюджетного фонда “Наименование фонда”</w:t>
      </w:r>
    </w:p>
    <w:p w:rsidR="00B97693" w:rsidRDefault="00B97693" w:rsidP="00B97693">
      <w:pPr>
        <w:pStyle w:val="2"/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на  _________ год</w:t>
      </w:r>
    </w:p>
    <w:p w:rsidR="00B97693" w:rsidRDefault="00B97693" w:rsidP="00B97693">
      <w:pPr>
        <w:widowControl w:val="0"/>
        <w:jc w:val="both"/>
        <w:rPr>
          <w:rFonts w:ascii="Times New Roman CYR" w:hAnsi="Times New Roman CYR"/>
          <w:snapToGrid w:val="0"/>
        </w:rPr>
      </w:pPr>
    </w:p>
    <w:p w:rsidR="00B97693" w:rsidRDefault="00B97693" w:rsidP="00B97693">
      <w:pPr>
        <w:widowControl w:val="0"/>
        <w:jc w:val="right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666"/>
      </w:tblGrid>
      <w:tr w:rsidR="00B97693" w:rsidTr="001869E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t>1. Доходы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 том числе: </w:t>
            </w:r>
          </w:p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доходы  целевого назначения</w:t>
            </w:r>
          </w:p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>из них: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целевые отчисления от видов доходов </w:t>
            </w:r>
          </w:p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>из них: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иные  поступления</w:t>
            </w:r>
          </w:p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>из них: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Итого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2. </w:t>
            </w:r>
            <w:r>
              <w:rPr>
                <w:snapToGrid w:val="0"/>
              </w:rPr>
              <w:t>Расходы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 том числе: </w:t>
            </w:r>
          </w:p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>по направлениям использования средств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B97693" w:rsidTr="001869E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3" w:rsidRDefault="00B97693" w:rsidP="001869EA">
            <w:pPr>
              <w:widowControl w:val="0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>Итого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3" w:rsidRDefault="00B97693" w:rsidP="001869EA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</w:tbl>
    <w:p w:rsidR="00B97693" w:rsidRDefault="00B97693" w:rsidP="00B97693">
      <w:pPr>
        <w:widowControl w:val="0"/>
        <w:jc w:val="both"/>
        <w:rPr>
          <w:snapToGrid w:val="0"/>
        </w:rPr>
      </w:pPr>
    </w:p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B97693" w:rsidRDefault="00B97693" w:rsidP="00B97693"/>
    <w:p w:rsidR="00361E7D" w:rsidRDefault="00361E7D">
      <w:bookmarkStart w:id="0" w:name="_GoBack"/>
      <w:bookmarkEnd w:id="0"/>
    </w:p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A"/>
    <w:rsid w:val="00002364"/>
    <w:rsid w:val="00006E4C"/>
    <w:rsid w:val="00011805"/>
    <w:rsid w:val="00017417"/>
    <w:rsid w:val="000175B4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2C2B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C3A09"/>
    <w:rsid w:val="003C5A6A"/>
    <w:rsid w:val="003D3FDE"/>
    <w:rsid w:val="003D40E2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62826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37DBF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21BC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E5AC4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B6CD3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04D3A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96E2F"/>
    <w:rsid w:val="00B97693"/>
    <w:rsid w:val="00BA7ED4"/>
    <w:rsid w:val="00BB2086"/>
    <w:rsid w:val="00BB284E"/>
    <w:rsid w:val="00BB2E81"/>
    <w:rsid w:val="00BB3D9E"/>
    <w:rsid w:val="00BC6357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27B5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C50A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69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B97693"/>
    <w:pPr>
      <w:keepNext/>
      <w:ind w:left="57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7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97693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B976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69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B97693"/>
    <w:pPr>
      <w:keepNext/>
      <w:ind w:left="57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7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97693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B976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2013-11-01T14:28:00Z</dcterms:created>
  <dcterms:modified xsi:type="dcterms:W3CDTF">2013-11-01T14:35:00Z</dcterms:modified>
</cp:coreProperties>
</file>